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Комунальний заклад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 xml:space="preserve">"Дошкільний навчальний заклад (ясла - садок) № 142 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Харківської міської ради"</w:t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52"/>
          <w:szCs w:val="52"/>
          <w:lang w:val="uk-UA"/>
        </w:rPr>
        <w:t xml:space="preserve">Звіт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завідувача комунального закладу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«Дошкільний навчальний заклад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(ясла - садок) №142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Харківської міської ради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Здоровцової Наталії Володимирівни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перед педагогічним  колективом та громадськістю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44"/>
          <w:szCs w:val="44"/>
        </w:rPr>
        <w:t>за 201</w:t>
      </w:r>
      <w:r>
        <w:rPr>
          <w:rFonts w:cs="Garamond" w:ascii="Times New Roman" w:hAnsi="Times New Roman"/>
          <w:b/>
          <w:bCs/>
          <w:shadow/>
          <w:sz w:val="44"/>
          <w:szCs w:val="44"/>
          <w:lang w:val="uk-UA"/>
        </w:rPr>
        <w:t>6</w:t>
      </w:r>
      <w:r>
        <w:rPr>
          <w:rFonts w:cs="Garamond" w:ascii="Times New Roman" w:hAnsi="Times New Roman"/>
          <w:b/>
          <w:bCs/>
          <w:shadow/>
          <w:sz w:val="44"/>
          <w:szCs w:val="44"/>
        </w:rPr>
        <w:t xml:space="preserve"> – 2017 навчальний рік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211"/>
        <w:spacing w:lineRule="auto" w:line="240" w:before="0" w:after="0"/>
        <w:ind w:left="0" w:right="0" w:hanging="0"/>
        <w:jc w:val="both"/>
        <w:rPr/>
      </w:pPr>
      <w:r>
        <w:rPr/>
        <w:t xml:space="preserve">   </w:t>
      </w:r>
      <w:r>
        <w:rPr/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>
      <w:pPr>
        <w:pStyle w:val="211"/>
        <w:spacing w:lineRule="auto" w:line="240" w:before="0" w:after="0"/>
        <w:rPr/>
      </w:pPr>
      <w:r>
        <w:rPr/>
      </w:r>
    </w:p>
    <w:p>
      <w:pPr>
        <w:pStyle w:val="11"/>
        <w:spacing w:lineRule="auto" w:line="240" w:before="0" w:after="0"/>
        <w:ind w:left="284" w:right="0" w:hanging="284"/>
        <w:rPr/>
      </w:pPr>
      <w:r>
        <w:rPr>
          <w:b/>
          <w:sz w:val="28"/>
          <w:lang w:val="uk-UA"/>
        </w:rPr>
        <w:t>Мета :</w:t>
      </w:r>
    </w:p>
    <w:p>
      <w:pPr>
        <w:pStyle w:val="21"/>
        <w:spacing w:lineRule="auto" w:line="240" w:before="0" w:after="0"/>
        <w:jc w:val="both"/>
        <w:rPr/>
      </w:pPr>
      <w:r>
        <w:rPr>
          <w:b w:val="false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>
      <w:pPr>
        <w:pStyle w:val="21"/>
        <w:spacing w:lineRule="auto" w:line="240" w:before="0" w:after="0"/>
        <w:jc w:val="both"/>
        <w:rPr/>
      </w:pPr>
      <w:r>
        <w:rPr/>
      </w:r>
    </w:p>
    <w:p>
      <w:pPr>
        <w:pStyle w:val="11"/>
        <w:spacing w:lineRule="auto" w:line="240" w:before="0" w:after="0"/>
        <w:jc w:val="both"/>
        <w:rPr/>
      </w:pPr>
      <w:r>
        <w:rPr>
          <w:b/>
          <w:sz w:val="28"/>
          <w:lang w:val="uk-UA"/>
        </w:rPr>
        <w:t>Завдання звітування: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28"/>
          <w:lang w:val="uk-UA"/>
        </w:rPr>
        <w:t>Забезпечити прозорість, відкритість і демократичність управління навчальним закладом.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28"/>
          <w:lang w:val="uk-UA"/>
        </w:rPr>
        <w:t>Стимулювати вплив громадськості на прийняття та виконання керівником відповідних рішень у сфері управління навчальним закладом.</w:t>
      </w:r>
    </w:p>
    <w:p>
      <w:pPr>
        <w:pStyle w:val="11"/>
        <w:spacing w:lineRule="auto" w:line="240" w:before="0" w:after="0"/>
        <w:ind w:left="360" w:right="0" w:hanging="0"/>
        <w:jc w:val="both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ЗВІТ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Комунальний заклад «Дошкільний навчальний заклад (ясла-садок)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№ </w:t>
      </w:r>
      <w:r>
        <w:rPr>
          <w:rFonts w:cs="Times New Roman" w:ascii="Times New Roman" w:hAnsi="Times New Roman"/>
          <w:sz w:val="28"/>
          <w:szCs w:val="28"/>
          <w:lang w:val="uk-UA"/>
        </w:rPr>
        <w:t>142 Харківської міської ради» розташований за адресою 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61063,  м. Харків, вул.. Іллінська, 65,  телефон: 376 – 67 – 60, 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mail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0"/>
            <w:rFonts w:cs="Times New Roman" w:ascii="Times New Roman" w:hAnsi="Times New Roman"/>
            <w:color w:val="000000"/>
            <w:sz w:val="28"/>
            <w:szCs w:val="28"/>
            <w:u w:val="single"/>
          </w:rPr>
          <w:t>dnz</w:t>
        </w:r>
        <w:r>
          <w:rPr>
            <w:rStyle w:val="Style10"/>
            <w:rFonts w:cs="Times New Roman" w:ascii="Times New Roman" w:hAnsi="Times New Roman"/>
            <w:color w:val="000000"/>
            <w:sz w:val="28"/>
            <w:szCs w:val="28"/>
            <w:u w:val="single"/>
            <w:lang w:val="uk-UA"/>
          </w:rPr>
          <w:t>142kh@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ukr.net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сайт: </w:t>
      </w:r>
      <w:r>
        <w:rPr>
          <w:rFonts w:cs="Times New Roman" w:ascii="Times New Roman" w:hAnsi="Times New Roman"/>
          <w:sz w:val="28"/>
          <w:szCs w:val="28"/>
        </w:rPr>
        <w:t>dnz</w:t>
      </w:r>
      <w:r>
        <w:rPr>
          <w:rFonts w:cs="Times New Roman" w:ascii="Times New Roman" w:hAnsi="Times New Roman"/>
          <w:sz w:val="28"/>
          <w:szCs w:val="28"/>
          <w:lang w:val="uk-UA"/>
        </w:rPr>
        <w:t>142</w:t>
      </w:r>
      <w:r>
        <w:rPr>
          <w:rFonts w:cs="Times New Roman" w:ascii="Times New Roman" w:hAnsi="Times New Roman"/>
          <w:sz w:val="28"/>
          <w:szCs w:val="28"/>
        </w:rPr>
        <w:t>klasna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com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Заклад розпочав свою діяльність у 1985 році, розрахований на 12 груп та 220 дітей.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Для занять дітей створено всі умови, обладнані спеціальні приміщення: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музична зала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басейн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методичний кабінет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кабінет психолога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прогулянкові майданчики та павільони для кожної вікової групи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сучасні ігрові малі форми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За проектною потужністю заклад розраховано на 220 місць. Групи комплектувались переважно у серпні — вересні за направленнями районного Управління освіти.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8"/>
          <w:lang w:val="uk-UA"/>
        </w:rPr>
        <w:t xml:space="preserve">У 2016-2017 навчальному році дошкільний навчальний заклад відвідували 316 дітей. Наповнюваність груп за віком </w:t>
      </w:r>
      <w:r>
        <w:rPr>
          <w:sz w:val="28"/>
          <w:szCs w:val="28"/>
          <w:lang w:val="uk-UA"/>
        </w:rPr>
        <w:t>складала: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 xml:space="preserve">3 групи раннього віку, з наповнюваністю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  <w:lang w:val="uk-UA"/>
        </w:rPr>
        <w:t xml:space="preserve"> дитини;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>3 групи молодшого дошкільного віку, з наповнюваністю 84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дитини;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>3 групи середнього дошкільного віку, з наповнюваністю  85 дітей;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 групи старшого дошкільного віку, з наповнюваністю </w:t>
      </w:r>
      <w:r>
        <w:rPr>
          <w:rFonts w:cs="Times New Roman" w:ascii="Times New Roman" w:hAnsi="Times New Roman"/>
          <w:sz w:val="28"/>
          <w:szCs w:val="28"/>
          <w:lang w:val="ru-RU"/>
        </w:rPr>
        <w:t>84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дитини. </w:t>
      </w:r>
    </w:p>
    <w:p>
      <w:pPr>
        <w:pStyle w:val="Normal"/>
        <w:spacing w:lineRule="auto" w:line="240" w:before="0" w:after="0"/>
        <w:ind w:left="0" w:right="0" w:firstLine="668"/>
        <w:jc w:val="both"/>
        <w:rPr/>
      </w:pPr>
      <w:r>
        <w:rPr>
          <w:sz w:val="28"/>
          <w:szCs w:val="28"/>
          <w:lang w:val="uk-UA"/>
        </w:rPr>
        <w:tab/>
        <w:t>У дошкільному закладі працює 51 працівників з них 21 педагогів (з них мають освіту: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>вища – 14 педагогів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>базова вища – 5 педагогів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>неповна вища – 2 педагоги</w:t>
      </w:r>
    </w:p>
    <w:p>
      <w:pPr>
        <w:pStyle w:val="Normal"/>
        <w:spacing w:lineRule="auto" w:line="240" w:before="0" w:after="0"/>
        <w:ind w:left="57" w:right="0" w:hanging="0"/>
        <w:jc w:val="both"/>
        <w:rPr/>
      </w:pPr>
      <w:r>
        <w:rPr>
          <w:sz w:val="28"/>
          <w:szCs w:val="28"/>
          <w:lang w:val="uk-UA"/>
        </w:rPr>
        <w:t>2 медичних працівника, 28 осіб  обслуговуючого персоналу.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ListParagraph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Персональний  внесок  керівника  у   підвищення   рівня організації навчально-виховного процесу у навчальному закладі.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1.1. Вжиті завідуючим дошкільним навчальним закладом заходи щодо охоплення навчанням дітей 5-ти річного віку: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lang w:val="uk-UA"/>
        </w:rPr>
        <w:t xml:space="preserve">З метою забезпечення своєчасного та в повному обсязі обліку дітей дошкільного віку для прогнозування мережі дошкільних навчальних закладів Холодногірського району відповідно до освітніх запитів населення та створення умов для здобуття громадянами дошкільної освіти </w:t>
      </w:r>
      <w:r>
        <w:rPr>
          <w:sz w:val="28"/>
          <w:szCs w:val="28"/>
          <w:lang w:val="uk-UA"/>
        </w:rPr>
        <w:t>за дошкільним навчальним закладом була визначена та закріплена територія обслуговування: вул. Іллінська– 57,59,61,63,67,72; вул. Волонтерська -59,60,60а,61,63,65,</w:t>
      </w:r>
      <w:r>
        <w:rPr>
          <w:sz w:val="28"/>
          <w:szCs w:val="28"/>
          <w:lang w:val="ru-RU"/>
        </w:rPr>
        <w:t>71</w:t>
      </w:r>
      <w:r>
        <w:rPr>
          <w:sz w:val="28"/>
          <w:szCs w:val="28"/>
          <w:lang w:val="uk-UA"/>
        </w:rPr>
        <w:t>,68,68а;  вул. Полтавський шлях – 144/2,148/2,156; вул. Холодногірська – 10,12,14,16; вул. П. Болбочана – 59,63,69.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lang w:val="uk-UA"/>
        </w:rPr>
        <w:t xml:space="preserve">На закріпленій за дошкільним закладом території обслуговування, згідно з проведеним у 2016-2017 навчальному року обліком, мешкає </w:t>
      </w:r>
      <w:r>
        <w:rPr>
          <w:sz w:val="28"/>
          <w:szCs w:val="28"/>
          <w:shd w:fill="FFFFFF" w:val="clear"/>
          <w:lang w:val="ru-RU"/>
        </w:rPr>
        <w:t>384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дитини віком від 0 до 6 років.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8"/>
          <w:lang w:val="uk-UA" w:eastAsia="uk-UA"/>
        </w:rPr>
        <w:t>Із загальної кількості дітей</w:t>
      </w:r>
      <w:r>
        <w:rPr>
          <w:sz w:val="28"/>
          <w:lang w:val="uk-UA"/>
        </w:rPr>
        <w:t xml:space="preserve"> віком від 1 до 6 років, які мешкають на закріпленій за дошкільним навчальним закладом території, суспільною дошкільною освітою охоплено </w:t>
      </w:r>
      <w:r>
        <w:rPr>
          <w:sz w:val="28"/>
          <w:shd w:fill="FFFFFF" w:val="clear"/>
          <w:lang w:val="uk-UA"/>
        </w:rPr>
        <w:t xml:space="preserve">50 % </w:t>
      </w:r>
      <w:r>
        <w:rPr>
          <w:sz w:val="28"/>
          <w:lang w:val="uk-UA"/>
        </w:rPr>
        <w:t>дітей.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lang w:val="uk-UA"/>
        </w:rPr>
        <w:t xml:space="preserve">Педагогічним колективом закладу була проведена певна робота щодо охоплення дітей 6-го року життя дошкільною освітою. Вихователями був здійснений соціально-педагогічний патронат сімей, в яких є діти старшого дошкільного віку. Встановлено, що загальна кількість дітей 5-ти річного віку становить </w:t>
      </w:r>
      <w:r>
        <w:rPr>
          <w:sz w:val="28"/>
          <w:shd w:fill="FFFFFF" w:val="clear"/>
          <w:lang w:val="uk-UA"/>
        </w:rPr>
        <w:t>55</w:t>
      </w:r>
      <w:r>
        <w:rPr>
          <w:sz w:val="28"/>
          <w:lang w:val="uk-UA"/>
        </w:rPr>
        <w:t xml:space="preserve"> дітей, виявлено, якими формами здобуття дошкільної освіти охоплені діти.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підвищення   рівня організації навчально-виховного процесу у дошкільному закладі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розроблено  систему  управлінських  дій  щодо  реалізації  права  дитини  на  отримання  дошкільної  освіти. У змісті річного плану ДНЗ введений розділ «Забезпечення гарантованого права громадян на отримання дошкільної освіти», в якому зазначені відповідні заходи.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Відповідно до цього проводилась робота по наданню можливостей одержання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дошкільної освіти в різних формах,   відповідно до потреб дітей: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Проведена експертиза обліку дітей дошкільного віку;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8"/>
          <w:szCs w:val="28"/>
          <w:lang w:val="uk-UA"/>
        </w:rPr>
        <w:t xml:space="preserve">Внесено до інформаційного банку даних відомостей про дітей дошкільного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віку.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Проведено соціально-педагогічний патронаж дітей 6-го року життя, які не відвідують дошкільний навчальний заклад, з метою виявлення форм підготовки дітей до шкільного навчання.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Створенно консультативний центр роботи з батьками для професійного консультування  де б вони могли отримати кваліфіковану консультацію педагогів та інших спеціалістів з питань виховання та навчання дітей удома ; 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Троє  дітей відвідує заклад з короткотривалим режимом перебування.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Cs/>
          <w:color w:val="000000"/>
          <w:spacing w:val="0"/>
          <w:sz w:val="28"/>
          <w:szCs w:val="28"/>
          <w:lang w:val="uk-UA" w:eastAsia="ru-RU"/>
        </w:rPr>
        <w:t>Вихователями був здійснений соціально-педагогічний патронат сімей, в яких діти старшого дошкільного віку не охоплені дошкільною освітою. Була проведена роз’яснювальна робота щодо важливості формування у дітей шкільної зрілості (розумової, соціальної, емоційної), психологічної та фізичної готовності до навчання у школі. Вихователі запросили батьків до співпраці з дошкільним закладом щодо вирішення цієї проблеми. Для батьків були проведені консультації з питань розвитку,  виховання та навчання дітей. Батьки разом з дітьми відвідали День відкритих дверей, святкування різних свят та розваг дошкільного закладу.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0"/>
          <w:sz w:val="28"/>
          <w:szCs w:val="28"/>
          <w:lang w:eastAsia="ru-RU"/>
        </w:rPr>
        <w:t>Потреби  батьків  щодо  утримання  дітей  у  закладі  задовольняються  повною  мірою.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1.2. Створення  умов для варіативності навчання та вжиті  заходи щодо   упровадження   інноваційних   педагогічних   технологій   у навчальний  процес:</w:t>
      </w:r>
    </w:p>
    <w:p>
      <w:pPr>
        <w:pStyle w:val="12"/>
        <w:spacing w:lineRule="auto" w:line="240" w:before="0" w:after="0"/>
        <w:rPr/>
      </w:pPr>
      <w:r>
        <w:rPr>
          <w:b/>
          <w:bCs/>
          <w:i/>
          <w:iCs/>
          <w:szCs w:val="28"/>
        </w:rPr>
        <w:tab/>
      </w:r>
      <w:r>
        <w:rPr/>
        <w:t xml:space="preserve">  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навчання та виховання. Кожен структурний елемент несе певну педагогічну, психологічну, соціальну функцію.</w:t>
      </w:r>
    </w:p>
    <w:p>
      <w:pPr>
        <w:pStyle w:val="12"/>
        <w:spacing w:lineRule="auto" w:line="240" w:before="0" w:after="0"/>
        <w:rPr/>
      </w:pPr>
      <w:r>
        <w:rPr/>
        <w:t xml:space="preserve">     </w:t>
      </w:r>
      <w:r>
        <w:rPr/>
        <w:t xml:space="preserve">Сучасна освіта вимагає докорінного переосмислення стратегії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   </w:t>
      </w:r>
    </w:p>
    <w:p>
      <w:pPr>
        <w:pStyle w:val="12"/>
        <w:spacing w:lineRule="auto" w:line="240" w:before="0" w:after="0"/>
        <w:ind w:left="0" w:right="0" w:firstLine="708"/>
        <w:rPr/>
      </w:pPr>
      <w:r>
        <w:rPr/>
        <w:t xml:space="preserve"> </w:t>
      </w:r>
      <w:r>
        <w:rPr/>
        <w:t xml:space="preserve">Протягом 2016/2017 навчального року педагоги закладу регулярно відвідували районні методичні об’єднання, школу ефективного педагогічного досвіду, майстер-класи. В закладі залучена система інтерактивного навчання з математики, грамоти. На заняттях з фізкультури використовуються елементи авторської програми М.М.Єфименка, після денного </w:t>
      </w:r>
      <w:r>
        <w:rPr>
          <w:lang w:val="ru-RU"/>
        </w:rPr>
        <w:t>сн</w:t>
      </w:r>
      <w:r>
        <w:rPr/>
        <w:t xml:space="preserve">у – «Гімнастика пробудження». Вихователі будують свою роботу з урахуванням поставлених на рік завдань, сучасних вимог в навчанні та вихованні.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1.3. Організація  різних  форм  позаурочної  навчально-виховної роботи:</w:t>
      </w:r>
    </w:p>
    <w:p>
      <w:pPr>
        <w:pStyle w:val="Normal"/>
        <w:tabs>
          <w:tab w:val="left" w:pos="708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В ДНЗ створені належні умови для задоволення потреб у розвитку творчих здібностей та інтересів дітей: у групах створені ігрові зони за гендерними ознаками; оформлені куточки відповідно до різних видів діяльності дітей: образотворчої, театралізованої, пізнавальної тощо. </w:t>
      </w:r>
    </w:p>
    <w:p>
      <w:pPr>
        <w:pStyle w:val="Normal"/>
        <w:tabs>
          <w:tab w:val="left" w:pos="708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Відкриті платні гуртки за позабюджетні кошти:  з вивчення англійської мови та хореографії.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2. Вжиті  керівником заходи щодо зміцнення та  модернізації матеріально-технічної бази навчального закладу: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Для зміцнення та модернізації матеріально - технічної бази навчального закладу було оновлено в методичному кабінеті методичну літературу.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3.  Залучення  додаткових  джерел  фінансування  навчального закладу та їх раціональне використання.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Звіт про надходження та використання позабюджетних коштів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01 вересня 2016 р. – 01 червня 2017 р.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ДНЗ №142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І. Загальна інформація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ІІ. Використання позабюджетних коштів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2160" w:leader="none"/>
        </w:tabs>
        <w:bidi w:val="0"/>
        <w:spacing w:lineRule="auto" w:line="240" w:before="0" w:after="0"/>
        <w:ind w:left="1800" w:right="0" w:hanging="0"/>
        <w:jc w:val="left"/>
        <w:textAlignment w:val="auto"/>
        <w:rPr/>
      </w:pPr>
      <w:r>
        <w:rPr>
          <w:b/>
          <w:sz w:val="28"/>
        </w:rPr>
        <w:t xml:space="preserve">Фонд закладу та груп </w:t>
      </w:r>
      <w:r>
        <w:rPr/>
        <w:t>(за рішенням батьківських зборів)</w:t>
      </w:r>
      <w:r>
        <w:rPr>
          <w:b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2160" w:leader="none"/>
        </w:tabs>
        <w:bidi w:val="0"/>
        <w:spacing w:lineRule="auto" w:line="240" w:before="0" w:after="0"/>
        <w:ind w:left="1800" w:right="0" w:hanging="0"/>
        <w:jc w:val="left"/>
        <w:textAlignment w:val="auto"/>
        <w:rPr>
          <w:b/>
          <w:b/>
        </w:rPr>
      </w:pPr>
      <w:r>
        <w:rPr/>
      </w:r>
    </w:p>
    <w:tbl>
      <w:tblPr>
        <w:tblW w:w="9750" w:type="dxa"/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57"/>
        <w:gridCol w:w="4193"/>
      </w:tblGrid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>1)Капітальний ремонт: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Класів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 xml:space="preserve">Харчоблоку…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ремонт плити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Туалетні кімнати… (архіву)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>3)Ремонт систем: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 xml:space="preserve">Заміна труб каналізації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зварювальні роботи, прочистка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Опалення…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заміна термометрів , манометрів на рамці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Ремонт е</w:t>
            </w:r>
            <w:r>
              <w:rPr/>
              <w:t xml:space="preserve">лектрики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Заміна та ремонт сантехніки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 групах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 xml:space="preserve">Частковий ремонт крівлі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встановлення металу на парапети 28 м.п.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 xml:space="preserve">Заміна </w:t>
            </w:r>
            <w:r>
              <w:rPr>
                <w:b/>
                <w:sz w:val="28"/>
              </w:rPr>
              <w:t>д</w:t>
            </w:r>
            <w:r>
              <w:rPr>
                <w:sz w:val="28"/>
              </w:rPr>
              <w:t>верей…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Заміна ручки кабінет завідувача, заміна довідника на дверях з домофоном тощо.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 xml:space="preserve">Придбання меблів,орг.,аудіо…відео техніки тощо: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Стіл,дитячий куточок, лавка для роздягання 4 шт.,дошка настінна, шафа в роздягальню, куточок “Природи”,теплі ковдри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>Придбання художньої та методичної літератури,канц.товарів: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>Організація культурно-масових,спортивних заходів: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Організація свят та придбання костюмів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Придбання м</w:t>
            </w:r>
            <w:r>
              <w:rPr>
                <w:b/>
                <w:sz w:val="28"/>
              </w:rPr>
              <w:t>июч</w:t>
            </w:r>
            <w:r>
              <w:rPr>
                <w:b/>
                <w:sz w:val="28"/>
              </w:rPr>
              <w:t>их</w:t>
            </w:r>
            <w:r>
              <w:rPr>
                <w:b/>
                <w:sz w:val="28"/>
              </w:rPr>
              <w:t xml:space="preserve"> та дезінфікуюч</w:t>
            </w:r>
            <w:r>
              <w:rPr>
                <w:b/>
                <w:sz w:val="28"/>
              </w:rPr>
              <w:t>их</w:t>
            </w:r>
            <w:r>
              <w:rPr>
                <w:b/>
                <w:sz w:val="28"/>
              </w:rPr>
              <w:t xml:space="preserve"> засоб</w:t>
            </w:r>
            <w:r>
              <w:rPr>
                <w:b/>
                <w:sz w:val="28"/>
              </w:rPr>
              <w:t>ів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 xml:space="preserve">Соліклор </w:t>
            </w:r>
            <w:r>
              <w:rPr>
                <w:sz w:val="28"/>
              </w:rPr>
              <w:t>тощо...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Укртелеком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Дзвінки на мобільні телефони батькам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Пісок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8 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Придбання медикаментів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В мед.кабінет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Дератизація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Заправка картриджів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12 шт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Охорона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4 місяці до нового року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Аналіз води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Придбання п</w:t>
            </w:r>
            <w:r>
              <w:rPr/>
              <w:t>ожежн</w:t>
            </w:r>
            <w:r>
              <w:rPr/>
              <w:t>ого</w:t>
            </w:r>
            <w:r>
              <w:rPr/>
              <w:t xml:space="preserve"> щит</w:t>
            </w:r>
            <w:r>
              <w:rPr/>
              <w:t>а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1 шт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Дезінсекція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Заміна фільтру на харчоблоці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7 раз</w:t>
            </w:r>
            <w:r>
              <w:rPr>
                <w:sz w:val="28"/>
              </w:rPr>
              <w:t>ів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Супротив ізоляції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Придбання в</w:t>
            </w:r>
            <w:r>
              <w:rPr/>
              <w:t>од</w:t>
            </w:r>
            <w:r>
              <w:rPr/>
              <w:t>и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65 бут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Придбання е</w:t>
            </w:r>
            <w:r>
              <w:rPr/>
              <w:t>лектроламп Led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 xml:space="preserve">Встановлення кварцових ламп 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12 груп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Вивіз сміття (лисття)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12 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Покос трави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>Енергопаспорт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Оплата за сайт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1 раз на рік</w:t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Компютерне обслуговування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Придбання посуду на харчоблок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Гідравліка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Аренда машини для кронування дерев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360" w:right="0" w:hanging="0"/>
        <w:jc w:val="left"/>
        <w:textAlignment w:val="au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360" w:right="0" w:hanging="0"/>
        <w:jc w:val="left"/>
        <w:textAlignment w:val="auto"/>
        <w:rPr/>
      </w:pPr>
      <w:r>
        <w:rPr>
          <w:b/>
          <w:sz w:val="28"/>
        </w:rPr>
        <w:t>2. Спонсорська допомога :</w:t>
      </w:r>
    </w:p>
    <w:tbl>
      <w:tblPr>
        <w:tblW w:w="9631" w:type="dxa"/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178"/>
        <w:gridCol w:w="3453"/>
      </w:tblGrid>
      <w:tr>
        <w:trPr/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>Примітка</w:t>
            </w:r>
          </w:p>
        </w:tc>
      </w:tr>
      <w:tr>
        <w:trPr/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Встановлення павільону 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шт — батьки;                 1шт — бюджет міста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4. Вжиті  заходи  щодо  забезпечення  навчального  закладу кваліфікованими   педагогічними   кадрами   та   доцільність    їх розстановки.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Всього в дошкільному навчальному закладі працюють 21  педагогічних працівників: з вищою освітою –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осіб; з базовою вищою освітою – 5 педагоги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неповною вищою  – 2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. 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>У дошкільному навчальному закладі забезпечуються права педагогічних працівників на підвищення кваліфікації: в наявності перспективне планування курсової перепідготовки та атестації педагогічних працівників. Підвищення професійної майстерності педагогічних працівників здійснюється шляхом відвідування методичних об’єднань, семінарів, курсів підвищення кваліфікації при Харківському інституті безперервної освіти, методичних об’єднань 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працівників. Таким чином підтверджується поступове підвищення кваліфікації педагогічних працівників ДНЗ.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Адміністрація створює оптимальні умови зростання педагогів з урахуванням індивідуальних можливостей кожного:    У 2016 – 2017 навчальному  році були атестовані наступні педагоги: </w:t>
      </w:r>
      <w:r>
        <w:rPr>
          <w:color w:val="000000"/>
          <w:sz w:val="28"/>
          <w:szCs w:val="28"/>
          <w:lang w:val="uk-UA"/>
        </w:rPr>
        <w:t xml:space="preserve"> вихователь Алексенко Н.М. </w:t>
      </w:r>
      <w:r>
        <w:rPr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присвоєння кваліфікаційної категорії «спеціаліст вищої категорії» та педагогічного звання «старший вихователь», вихователь Ністоріка Г.С. на присвоєння кваліфікаційної категорії «спеціаліст другої категорії».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>За наслідками атестації   педагоги дошкільного закладу мають такі кваліфікаційні категорії: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вищої категорії» – 2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І категорії» – 5 педагогів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ІІ категорії» – 2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«Спеціаліст» – 5 педагогів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9 тарифний розряд – 2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8 тарифний розряд – 5 педагогів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right="0" w:hanging="11"/>
        <w:jc w:val="both"/>
        <w:rPr/>
      </w:pPr>
      <w:r>
        <w:rPr>
          <w:sz w:val="28"/>
          <w:szCs w:val="28"/>
          <w:lang w:val="uk-UA"/>
        </w:rPr>
        <w:t>педагогічне звання – 2 педагога</w:t>
      </w:r>
    </w:p>
    <w:p>
      <w:pPr>
        <w:pStyle w:val="ListParagraph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 Соціальний захист, збереження та зміцнення здоров’я вихованців та педагогічних працівників:</w:t>
      </w:r>
    </w:p>
    <w:p>
      <w:pPr>
        <w:pStyle w:val="Style11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>З  метою  соціального  захисту  працівників  є  зареєстрований на  період  з  2014 – 2018 року Колективний  договір.  Правила  внутрішнього  трудового  розпорядку  затверджені  на  загальних  зборах трудового  колективу.</w:t>
      </w:r>
    </w:p>
    <w:p>
      <w:pPr>
        <w:pStyle w:val="Style1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</w:t>
      </w:r>
      <w:r>
        <w:rPr>
          <w:rFonts w:cs="Times New Roman" w:ascii="Times New Roman" w:hAnsi="Times New Roman"/>
          <w:bCs/>
          <w:color w:val="000000"/>
        </w:rPr>
        <w:t>У  закладі  створено  комісію з  соціального  страхування, оптимально  розподілено  навантаження  між  педагогічними  працівниками,  надається  доплата  педагогам  за  вислугу  років,  щорічно  надаються  відпустки в літні місяці та за  бажанням  працівників,  виплачуються  кошти  на  оздоровлення,   щорічна  грошова  винагорода.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Порушень  трудового  законодавства  не  відмічено.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5.1. забезпечення   організації   харчування   та    медичного обслуговування вихованців 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ab/>
        <w:t xml:space="preserve">Планові лікарські огляди дітей проводяться чітко за графіком: у ясельних групах – один раз на місяць, у дошкільних – один раз у квартал. Діти старших груп 1 раз на </w:t>
      </w: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 xml:space="preserve">рік проходять медичний огляд з залученням фахівців дитячої поліклініки.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Організація харчування здійснюється у відповідності до Інструкції з організації харчування дітей дошкільних закладів від 17.01.2006 № 298/227 (зі змінами). В наявності орієнтовне двотижневе меню, щоденний меню-розклад, картотека страв,  книги бракеражу сирої та готової продукції, інша нормативна документація. Вихователі достатньо приділяють уваги вихованню культурно-гігієнічних навичок дітей під час прийому їжі, самообслуговуванні, організовують чергування дітей по їдальні. У  дітей сформовані навички сервірування столу, правильного користування столовими приборами, серветками.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Cs/>
          <w:lang w:val="uk-UA"/>
        </w:rPr>
        <w:t xml:space="preserve">Оплата вартості харчування здійснюється </w:t>
      </w:r>
      <w:r>
        <w:rPr>
          <w:rFonts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 xml:space="preserve"> згідно із грошовими нормами харчування, затвердженими рішенням виконавчого комітету Харківської міської ради від 18.01.2017 №3 «Про організацію харчування учнів та вихованців навчальних закладів системи освіти м. Харкова у 2017 році» та затвердженим обсягом асигнувань на харчування:</w:t>
      </w:r>
    </w:p>
    <w:p>
      <w:pPr>
        <w:pStyle w:val="Style19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ab/>
        <w:t>1.1. Вікова група від 1-го до 3-х років – 18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</w:rPr>
        <w:t xml:space="preserve"> грн (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з розрахунку: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7,20 грн –бюджетні кошти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10,80 грн – батьківська плата);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ab/>
        <w:t>1.2. Вікова група від 3-х до  6-ти (7-ми) років – 23,00 грн (із розрахунку: 9,20 грн – бюджетні кошти та 13,80 грн – батьківська плата)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; діти, позбавлені батьківського піклування, діти-інваліди та діти з малозабезпечених сімей отримують харчування безкоштовно, діти, які виховуються в багатодітних родинах сплачують 50% батьківської вартості харчування.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дотримання  вимог  охорони  дитинства,  техніки   безпеки, санітарно-гігієнічних та протипожежних норм;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Приміщення закладу знаходяться у належному стані для здійснення навчально – виховного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процесу.</w:t>
      </w:r>
    </w:p>
    <w:p>
      <w:pPr>
        <w:pStyle w:val="Style12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 працює автоматична протипожежна система сигналізації.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В належному стані пожежні гідранти, в наявності вогнегасники, протипожежний куточок, плани евакуації людей на випадок виникнення пожеж. 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lang w:val="uk-UA"/>
        </w:rPr>
        <w:t>ДНЗ забезпечено законодавчою та нормативною документацією з охорони праці й техніки безпеки. Розроблені інструкції з охорони праці для всіх категорій працівників. Робота з безпеки життєдіяльності працівників ведеться планово. Своєчасно  проводяться  інструктажі  з  техніки   безпеки, в  наявності   посадові  інструкції,  журнали  реєстрації,  видачі  інструкцій,  журнал  навчання.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5.3.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надання  соціальної  підтримки та допомоги  дітям  сиротам, дітям,    позбавленим    батьківського   піклування,    дітям    з малозабезпечених сімей: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В дошкільному навчальному закладі ведеться облік дітей пільгового контингенту,  </w:t>
      </w:r>
      <w:r>
        <w:rPr>
          <w:rFonts w:cs="Times New Roman" w:ascii="Times New Roman" w:hAnsi="Times New Roman"/>
          <w:spacing w:val="0"/>
          <w:sz w:val="28"/>
          <w:szCs w:val="28"/>
        </w:rPr>
        <w:t>систематично та планомірно проводиться робота з виконання вимог законодавчої та  нормативної бази із соціального захисту вихованців.</w:t>
      </w:r>
    </w:p>
    <w:p>
      <w:pPr>
        <w:pStyle w:val="Style11"/>
        <w:spacing w:lineRule="auto" w:line="240" w:before="0" w:after="0"/>
        <w:ind w:left="360" w:right="0" w:hanging="0"/>
        <w:rPr>
          <w:shd w:fill="FFFF00" w:val="clear"/>
        </w:rPr>
      </w:pPr>
      <w:r>
        <w:rPr>
          <w:rFonts w:cs="Times New Roman" w:ascii="Times New Roman" w:hAnsi="Times New Roman"/>
          <w:bCs/>
          <w:color w:val="000000"/>
        </w:rPr>
        <w:t>Заклад відвідує:</w:t>
      </w:r>
    </w:p>
    <w:p>
      <w:pPr>
        <w:pStyle w:val="Style1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багатодітних  сімей – </w:t>
      </w:r>
      <w:r>
        <w:rPr>
          <w:rFonts w:cs="Times New Roman" w:ascii="Times New Roman" w:hAnsi="Times New Roman"/>
          <w:bCs/>
          <w:color w:val="000000"/>
          <w:lang w:val="uk-UA"/>
        </w:rPr>
        <w:t>19</w:t>
      </w:r>
      <w:r>
        <w:rPr>
          <w:rFonts w:cs="Times New Roman" w:ascii="Times New Roman" w:hAnsi="Times New Roman"/>
          <w:bCs/>
          <w:color w:val="000000"/>
        </w:rPr>
        <w:t>;</w:t>
      </w:r>
    </w:p>
    <w:p>
      <w:pPr>
        <w:pStyle w:val="Style1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</w:t>
      </w:r>
      <w:r>
        <w:rPr>
          <w:rFonts w:cs="Times New Roman" w:ascii="Times New Roman" w:hAnsi="Times New Roman"/>
          <w:bCs/>
          <w:color w:val="000000"/>
          <w:lang w:val="uk-UA"/>
        </w:rPr>
        <w:t>по</w:t>
      </w:r>
      <w:r>
        <w:rPr>
          <w:rFonts w:cs="Times New Roman" w:ascii="Times New Roman" w:hAnsi="Times New Roman"/>
          <w:bCs/>
          <w:color w:val="000000"/>
        </w:rPr>
        <w:t xml:space="preserve">одиноких  матерів – 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8 </w:t>
      </w:r>
      <w:r>
        <w:rPr>
          <w:rFonts w:cs="Times New Roman" w:ascii="Times New Roman" w:hAnsi="Times New Roman"/>
          <w:bCs/>
          <w:color w:val="000000"/>
        </w:rPr>
        <w:t>дитини ;</w:t>
      </w:r>
    </w:p>
    <w:p>
      <w:pPr>
        <w:pStyle w:val="Style1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  - інваліди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–1;</w:t>
      </w:r>
    </w:p>
    <w:p>
      <w:pPr>
        <w:pStyle w:val="Style1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напівсирота – 2;</w:t>
      </w:r>
    </w:p>
    <w:p>
      <w:pPr>
        <w:pStyle w:val="Style12"/>
        <w:spacing w:lineRule="auto" w:line="240" w:before="0" w:after="0"/>
        <w:jc w:val="both"/>
        <w:rPr>
          <w:shd w:fill="FFFF00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Діти з малозабезпечених сімей - 11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5.4. моральне  та матеріальне стимулювання   педагогічних працівників: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A"/>
          <w:sz w:val="28"/>
          <w:szCs w:val="28"/>
        </w:rPr>
        <w:t>В 2016 -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2017 році за сумлінну працю нагороджено подякою адміністрації Холодногірського району   2 - працівника.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5.5. стан дитячого травматизму: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Випадків травматизму за поточний навчальний рік не зафіксовано.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6. Залучення  педагогічної  та  батьківської  громадськості навчального  закладу  до управління його діяльністю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З метою ініціювання участі педагогів, активних батьків у дощкільному закладі прийнято такі форми самоврядування: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рада ДНЗ,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батьківський комітет закладу та батьківський комітет груп,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педагогічна рада,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профспілковий комітет,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загальні збори батьків та членів трудового колективу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7. Дисциплінарна  практика та аналіз  звернень  громадян  з питань  діяльності  навчального закладу. Реагування  керівника  на зауваження та пропозиції, викладені батьківським комітетом,  радою та  піклувальною  радою,  батьками, представниками  інших  органів громадського самоврядування.</w:t>
      </w:r>
    </w:p>
    <w:p>
      <w:pPr>
        <w:pStyle w:val="Style12"/>
        <w:spacing w:lineRule="auto" w:line="240" w:before="0" w:after="0"/>
        <w:jc w:val="both"/>
        <w:rPr/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Інструкціїї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дошкільному навчальному закладі № </w:t>
      </w:r>
      <w:r>
        <w:rPr>
          <w:rFonts w:cs="Times New Roman" w:ascii="Times New Roman" w:hAnsi="Times New Roman"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2 проведено ряд заходів, а саме : заведені журнали обліку особистого прийому громадян, реєстрації пропозицій, заяв і скарг громадян, оформлений інформативний куточок щодо порядку звернення громадян. </w:t>
      </w:r>
    </w:p>
    <w:p>
      <w:pPr>
        <w:pStyle w:val="Style1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За минулий 2016/2017 навчальний рік  кількість звернень склала 128 із них 120 з метою оформлення дітей у дошкільний заклад. Порушені питання розглянуті, надані відповіді 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655" w:right="512" w:header="0" w:top="1177" w:footer="0" w:bottom="10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fill="4F81BD"/>
      <w:tabs>
        <w:tab w:val="left" w:pos="1296" w:leader="none"/>
      </w:tabs>
      <w:spacing w:before="200" w:after="0"/>
      <w:ind w:left="432" w:right="0" w:hanging="432"/>
    </w:pPr>
    <w:rPr>
      <w:b/>
      <w:bCs/>
      <w:caps/>
      <w:color w:val="FFFFFF"/>
      <w:spacing w:val="15"/>
      <w:sz w:val="22"/>
      <w:szCs w:val="22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Style11"/>
    <w:qFormat/>
    <w:pPr>
      <w:tabs>
        <w:tab w:val="left" w:pos="2016" w:leader="none"/>
      </w:tabs>
      <w:outlineLvl w:val="4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ListLabel1">
    <w:name w:val="ListLabel 1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1636">
    <w:name w:val="ListLabel 1636"/>
    <w:qFormat/>
    <w:rPr>
      <w:rFonts w:cs="Symbol"/>
    </w:rPr>
  </w:style>
  <w:style w:type="character" w:styleId="ListLabel1637">
    <w:name w:val="ListLabel 1637"/>
    <w:qFormat/>
    <w:rPr>
      <w:rFonts w:cs="Courier New"/>
    </w:rPr>
  </w:style>
  <w:style w:type="character" w:styleId="ListLabel1638">
    <w:name w:val="ListLabel 1638"/>
    <w:qFormat/>
    <w:rPr>
      <w:rFonts w:cs="Wingdings"/>
      <w:sz w:val="28"/>
      <w:szCs w:val="28"/>
    </w:rPr>
  </w:style>
  <w:style w:type="character" w:styleId="ListLabel1639">
    <w:name w:val="ListLabel 1639"/>
    <w:qFormat/>
    <w:rPr>
      <w:rFonts w:cs="Symbol"/>
    </w:rPr>
  </w:style>
  <w:style w:type="character" w:styleId="ListLabel1640">
    <w:name w:val="ListLabel 1640"/>
    <w:qFormat/>
    <w:rPr>
      <w:rFonts w:cs="Courier New"/>
    </w:rPr>
  </w:style>
  <w:style w:type="character" w:styleId="ListLabel1641">
    <w:name w:val="ListLabel 1641"/>
    <w:qFormat/>
    <w:rPr>
      <w:rFonts w:cs="Wingdings"/>
      <w:sz w:val="28"/>
      <w:szCs w:val="28"/>
    </w:rPr>
  </w:style>
  <w:style w:type="character" w:styleId="ListLabel1642">
    <w:name w:val="ListLabel 1642"/>
    <w:qFormat/>
    <w:rPr>
      <w:rFonts w:cs="Symbol"/>
    </w:rPr>
  </w:style>
  <w:style w:type="character" w:styleId="ListLabel1643">
    <w:name w:val="ListLabel 1643"/>
    <w:qFormat/>
    <w:rPr>
      <w:rFonts w:cs="Courier New"/>
    </w:rPr>
  </w:style>
  <w:style w:type="character" w:styleId="ListLabel1644">
    <w:name w:val="ListLabel 1644"/>
    <w:qFormat/>
    <w:rPr>
      <w:rFonts w:cs="Wingdings"/>
      <w:sz w:val="28"/>
      <w:szCs w:val="28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Symbol"/>
    </w:rPr>
  </w:style>
  <w:style w:type="character" w:styleId="ListLabel1647">
    <w:name w:val="ListLabel 1647"/>
    <w:qFormat/>
    <w:rPr>
      <w:rFonts w:cs="Courier New"/>
    </w:rPr>
  </w:style>
  <w:style w:type="character" w:styleId="ListLabel1648">
    <w:name w:val="ListLabel 1648"/>
    <w:qFormat/>
    <w:rPr>
      <w:rFonts w:cs="Wingdings"/>
    </w:rPr>
  </w:style>
  <w:style w:type="character" w:styleId="ListLabel1649">
    <w:name w:val="ListLabel 1649"/>
    <w:qFormat/>
    <w:rPr>
      <w:rFonts w:cs="Symbol"/>
    </w:rPr>
  </w:style>
  <w:style w:type="character" w:styleId="ListLabel1650">
    <w:name w:val="ListLabel 1650"/>
    <w:qFormat/>
    <w:rPr>
      <w:rFonts w:cs="Courier New"/>
    </w:rPr>
  </w:style>
  <w:style w:type="character" w:styleId="ListLabel1651">
    <w:name w:val="ListLabel 1651"/>
    <w:qFormat/>
    <w:rPr>
      <w:rFonts w:cs="Wingdings"/>
    </w:rPr>
  </w:style>
  <w:style w:type="character" w:styleId="ListLabel1652">
    <w:name w:val="ListLabel 1652"/>
    <w:qFormat/>
    <w:rPr>
      <w:rFonts w:cs="Symbol"/>
    </w:rPr>
  </w:style>
  <w:style w:type="character" w:styleId="ListLabel1653">
    <w:name w:val="ListLabel 1653"/>
    <w:qFormat/>
    <w:rPr>
      <w:rFonts w:cs="Courier New"/>
    </w:rPr>
  </w:style>
  <w:style w:type="character" w:styleId="ListLabel1654">
    <w:name w:val="ListLabel 1654"/>
    <w:qFormat/>
    <w:rPr>
      <w:rFonts w:cs="Wingdings"/>
    </w:rPr>
  </w:style>
  <w:style w:type="character" w:styleId="ListLabel1609">
    <w:name w:val="ListLabel 1609"/>
    <w:qFormat/>
    <w:rPr>
      <w:rFonts w:cs="Wingdings"/>
      <w:sz w:val="28"/>
      <w:szCs w:val="28"/>
    </w:rPr>
  </w:style>
  <w:style w:type="character" w:styleId="ListLabel1610">
    <w:name w:val="ListLabel 1610"/>
    <w:qFormat/>
    <w:rPr>
      <w:rFonts w:cs="Courier New"/>
    </w:rPr>
  </w:style>
  <w:style w:type="character" w:styleId="ListLabel1611">
    <w:name w:val="ListLabel 1611"/>
    <w:qFormat/>
    <w:rPr>
      <w:rFonts w:cs="Wingdings"/>
      <w:sz w:val="28"/>
      <w:szCs w:val="28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Courier New"/>
    </w:rPr>
  </w:style>
  <w:style w:type="character" w:styleId="ListLabel1614">
    <w:name w:val="ListLabel 1614"/>
    <w:qFormat/>
    <w:rPr>
      <w:rFonts w:cs="Wingdings"/>
      <w:sz w:val="28"/>
      <w:szCs w:val="28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  <w:sz w:val="28"/>
      <w:szCs w:val="28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Courier New"/>
    </w:rPr>
  </w:style>
  <w:style w:type="character" w:styleId="ListLabel1658">
    <w:name w:val="ListLabel 1658"/>
    <w:qFormat/>
    <w:rPr>
      <w:rFonts w:cs="Wingdings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Wingdings"/>
    </w:rPr>
  </w:style>
  <w:style w:type="character" w:styleId="ListLabel1666">
    <w:name w:val="ListLabel 1666"/>
    <w:qFormat/>
    <w:rPr>
      <w:rFonts w:cs="Wingdings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Wingdings"/>
    </w:rPr>
  </w:style>
  <w:style w:type="character" w:styleId="ListLabel1669">
    <w:name w:val="ListLabel 1669"/>
    <w:qFormat/>
    <w:rPr>
      <w:rFonts w:cs="Wingdings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Wingdings"/>
    </w:rPr>
  </w:style>
  <w:style w:type="character" w:styleId="ListLabel1672">
    <w:name w:val="ListLabel 1672"/>
    <w:qFormat/>
    <w:rPr>
      <w:rFonts w:cs="Wingdings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Wingdings"/>
      <w:sz w:val="28"/>
      <w:szCs w:val="28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  <w:sz w:val="28"/>
      <w:szCs w:val="28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  <w:sz w:val="28"/>
      <w:szCs w:val="28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  <w:sz w:val="28"/>
      <w:szCs w:val="28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Wingdings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Заглавие"/>
    <w:basedOn w:val="Normal"/>
    <w:qFormat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Style17">
    <w:name w:val="Подзаголовок"/>
    <w:basedOn w:val="Style11"/>
    <w:qFormat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ohit Hindi"/>
    </w:rPr>
  </w:style>
  <w:style w:type="paragraph" w:styleId="BodyText3">
    <w:name w:val="Body Text 3"/>
    <w:basedOn w:val="Normal"/>
    <w:qFormat/>
    <w:pPr>
      <w:spacing w:before="20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rmalWeb">
    <w:name w:val="Normal (Web)"/>
    <w:qFormat/>
    <w:pPr>
      <w:widowControl/>
      <w:tabs>
        <w:tab w:val="left" w:pos="709" w:leader="none"/>
      </w:tabs>
      <w:suppressAutoHyphens w:val="true"/>
      <w:bidi w:val="0"/>
      <w:spacing w:lineRule="auto" w:line="276" w:before="100" w:after="100"/>
      <w:jc w:val="left"/>
    </w:pPr>
    <w:rPr>
      <w:rFonts w:ascii="Calibri" w:hAnsi="Calibri" w:eastAsia="Droid Sans Fallback" w:cs="Lohit Hindi"/>
      <w:color w:val="00000A"/>
      <w:sz w:val="24"/>
      <w:szCs w:val="24"/>
      <w:lang w:val="uk-UA" w:eastAsia="uk-UA" w:bidi="hi-IN"/>
    </w:rPr>
  </w:style>
  <w:style w:type="paragraph" w:styleId="11">
    <w:name w:val="Звичайний1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21">
    <w:name w:val="Основний текст 21"/>
    <w:basedOn w:val="11"/>
    <w:qFormat/>
    <w:pPr>
      <w:jc w:val="center"/>
    </w:pPr>
    <w:rPr>
      <w:b/>
      <w:sz w:val="28"/>
      <w:lang w:val="uk-UA"/>
    </w:rPr>
  </w:style>
  <w:style w:type="paragraph" w:styleId="211">
    <w:name w:val="Основний текст з відступом 21"/>
    <w:basedOn w:val="11"/>
    <w:qFormat/>
    <w:pPr>
      <w:ind w:left="284" w:right="0" w:hanging="284"/>
    </w:pPr>
    <w:rPr>
      <w:sz w:val="28"/>
      <w:lang w:val="uk-UA"/>
    </w:rPr>
  </w:style>
  <w:style w:type="paragraph" w:styleId="12">
    <w:name w:val="Основний текст1"/>
    <w:basedOn w:val="11"/>
    <w:qFormat/>
    <w:pPr>
      <w:jc w:val="both"/>
    </w:pPr>
    <w:rPr>
      <w:sz w:val="28"/>
      <w:lang w:val="uk-UA"/>
    </w:rPr>
  </w:style>
  <w:style w:type="paragraph" w:styleId="Style18">
    <w:name w:val="Содержимое таблицы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uk-UA" w:eastAsia="ar-SA"/>
    </w:rPr>
  </w:style>
  <w:style w:type="paragraph" w:styleId="Style19">
    <w:name w:val="Основной текст с отступом"/>
    <w:basedOn w:val="Normal"/>
    <w:pPr>
      <w:ind w:left="0" w:right="0" w:firstLine="720"/>
      <w:jc w:val="both"/>
    </w:pPr>
    <w:rPr>
      <w:sz w:val="24"/>
      <w:lang w:val="uk-UA"/>
    </w:rPr>
  </w:style>
  <w:style w:type="paragraph" w:styleId="Style20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nz14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LibreOffice/4.4.7.2$Linux_x86 LibreOffice_project/f3153a8b245191196a4b6b9abd1d0da16eead600</Application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2013-02-09T14:06:00Z</dcterms:created>
  <dc:creator>a </dc:creator>
  <dc:language>ru-RU</dc:language>
  <cp:lastModifiedBy>a  </cp:lastModifiedBy>
  <cp:lastPrinted>2017-06-19T11:20:51Z</cp:lastPrinted>
  <dcterms:modified xsi:type="dcterms:W3CDTF">2018-12-06T13:38:35Z</dcterms:modified>
  <cp:revision>16</cp:revision>
</cp:coreProperties>
</file>